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 w:eastAsia="Calibri" w:cs="Arial"/>
          <w:sz w:val="22"/>
          <w:szCs w:val="22"/>
          <w:u w:val="single"/>
          <w:lang w:eastAsia="en-US"/>
        </w:rPr>
      </w:pPr>
      <w:r>
        <w:rPr>
          <w:rFonts w:ascii="Arial" w:hAnsi="Arial" w:eastAsia="Calibri" w:cs="Arial"/>
          <w:b/>
          <w:bCs/>
          <w:u w:val="single"/>
        </w:rPr>
        <w:t xml:space="preserve">  </w:t>
      </w:r>
      <w:r>
        <w:rPr>
          <w:rFonts w:ascii="Arial" w:hAnsi="Arial" w:eastAsia="Calibri" w:cs="Arial"/>
          <w:b/>
          <w:bCs/>
          <w:u w:val="single"/>
        </w:rPr>
        <w:t xml:space="preserve">ZAPYTANIE OFERTOWE NA </w:t>
      </w:r>
      <w:r>
        <w:rPr>
          <w:rFonts w:ascii="Arial" w:hAnsi="Arial" w:eastAsia="Calibri" w:cs="Arial"/>
          <w:b/>
          <w:bCs/>
          <w:u w:val="single"/>
        </w:rPr>
        <w:t xml:space="preserve">ZAKUP GAZU ZIEMNEGO W ROKU 2026</w:t>
      </w:r>
      <w:r>
        <w:rPr>
          <w:rFonts w:ascii="Arial" w:hAnsi="Arial" w:eastAsia="Calibri" w:cs="Arial"/>
          <w:sz w:val="22"/>
          <w:szCs w:val="22"/>
          <w:u w:val="single"/>
          <w:lang w:eastAsia="en-US"/>
        </w:rPr>
      </w:r>
      <w:r>
        <w:rPr>
          <w:rFonts w:ascii="Arial" w:hAnsi="Arial" w:eastAsia="Calibri" w:cs="Arial"/>
          <w:sz w:val="22"/>
          <w:szCs w:val="22"/>
          <w:u w:val="single"/>
          <w:lang w:eastAsia="en-US"/>
        </w:rPr>
      </w:r>
    </w:p>
    <w:p>
      <w:pPr>
        <w:pBdr/>
        <w:spacing/>
        <w:ind/>
        <w:jc w:val="center"/>
        <w:rPr>
          <w:rFonts w:ascii="Arial" w:hAnsi="Arial" w:eastAsia="Calibri" w:cs="Arial"/>
        </w:rPr>
      </w:pPr>
      <w:r>
        <w:rPr>
          <w:rFonts w:ascii="Arial" w:hAnsi="Arial" w:eastAsia="Calibri" w:cs="Arial"/>
        </w:rPr>
      </w:r>
      <w:r>
        <w:rPr>
          <w:rFonts w:ascii="Arial" w:hAnsi="Arial" w:eastAsia="Calibri" w:cs="Arial"/>
        </w:rPr>
      </w:r>
      <w:r>
        <w:rPr>
          <w:rFonts w:ascii="Arial" w:hAnsi="Arial" w:eastAsia="Calibri" w:cs="Arial"/>
        </w:rPr>
      </w:r>
    </w:p>
    <w:p>
      <w:pPr>
        <w:pBdr/>
        <w:spacing/>
        <w:ind/>
        <w:jc w:val="both"/>
        <w:rPr>
          <w:rFonts w:eastAsia="Calibri"/>
          <w:b/>
          <w:bCs/>
          <w:lang w:eastAsia="en-US"/>
        </w:rPr>
      </w:pPr>
      <w:r>
        <w:rPr>
          <w:rFonts w:ascii="Arial" w:hAnsi="Arial" w:eastAsia="Calibri" w:cs="Arial"/>
          <w:sz w:val="22"/>
          <w:szCs w:val="22"/>
        </w:rPr>
        <w:t xml:space="preserve">PIMB Sp. z o.o. </w:t>
      </w:r>
      <w:r>
        <w:rPr>
          <w:rFonts w:ascii="Arial" w:hAnsi="Arial" w:eastAsia="Calibri" w:cs="Arial"/>
          <w:sz w:val="22"/>
          <w:szCs w:val="22"/>
        </w:rPr>
        <w:t xml:space="preserve">zaprasza do składania ofert</w:t>
      </w:r>
      <w:r>
        <w:rPr>
          <w:rFonts w:ascii="Arial" w:hAnsi="Arial" w:eastAsia="Calibri" w:cs="Arial"/>
          <w:sz w:val="22"/>
          <w:szCs w:val="22"/>
        </w:rPr>
        <w:t xml:space="preserve"> na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</w:rPr>
        <w:t xml:space="preserve">z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akup gazu ziemnego wysokometanowego (grupa E)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w roku 2026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do ogrzewania obiektów PIMB Sp. z o.o.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, 05-230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Kobył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ka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ul. Napoleona 2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.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Bdr/>
        <w:spacing/>
        <w:ind/>
        <w:jc w:val="both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ascii="Arial" w:hAnsi="Arial" w:eastAsia="Calibri" w:cs="Arial"/>
          <w:sz w:val="16"/>
          <w:szCs w:val="16"/>
          <w:lang w:eastAsia="en-US"/>
        </w:rPr>
      </w:r>
      <w:r>
        <w:rPr>
          <w:rFonts w:ascii="Arial" w:hAnsi="Arial" w:eastAsia="Calibri" w:cs="Arial"/>
          <w:sz w:val="16"/>
          <w:szCs w:val="16"/>
          <w:lang w:eastAsia="en-US"/>
        </w:rPr>
      </w:r>
      <w:r>
        <w:rPr>
          <w:rFonts w:ascii="Arial" w:hAnsi="Arial" w:eastAsia="Calibri" w:cs="Arial"/>
          <w:sz w:val="16"/>
          <w:szCs w:val="16"/>
          <w:lang w:eastAsia="en-US"/>
        </w:rPr>
      </w:r>
    </w:p>
    <w:p>
      <w:pPr>
        <w:pStyle w:val="921"/>
        <w:numPr>
          <w:ilvl w:val="0"/>
          <w:numId w:val="11"/>
        </w:numPr>
        <w:pBdr/>
        <w:spacing/>
        <w:ind w:right="0" w:hanging="283" w:left="425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Zakres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oferty obejmuje zakup gazu ziemnego wysokometanowego (grupa E) o parametrach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:</w:t>
      </w: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>
      <w:pPr>
        <w:pStyle w:val="921"/>
        <w:numPr>
          <w:ilvl w:val="0"/>
          <w:numId w:val="9"/>
        </w:numPr>
        <w:pBdr/>
        <w:spacing/>
        <w:ind w:right="0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nominalne ciepło spalania dla gazu E: 39 500 MJ/ m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,</w:t>
      </w: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>
      <w:pPr>
        <w:pStyle w:val="921"/>
        <w:numPr>
          <w:ilvl w:val="0"/>
          <w:numId w:val="9"/>
        </w:numPr>
        <w:pBdr/>
        <w:spacing/>
        <w:ind w:right="0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ciepło spalania: 41 645 MJ/ m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.</w:t>
      </w: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>
      <w:pPr>
        <w:pBdr/>
        <w:spacing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Planowany zakup gazu ziemnego (szacowanego na podstawie zużycia w sezonie grzewczym 2024-2025) w ilości 1 723 448 kWh(149 161 m</w:t>
      </w:r>
      <w:r>
        <w:rPr>
          <w:rFonts w:ascii="Arial" w:hAnsi="Arial" w:eastAsia="Calibri" w:cs="Arial"/>
          <w:sz w:val="22"/>
          <w:szCs w:val="22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)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.</w:t>
      </w: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>
      <w:pPr>
        <w:pBdr/>
        <w:spacing w:after="120"/>
        <w:ind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Cenę gazu należy podać w dwóch wariantach:</w:t>
      </w: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>
      <w:pPr>
        <w:pStyle w:val="921"/>
        <w:numPr>
          <w:ilvl w:val="0"/>
          <w:numId w:val="10"/>
        </w:numPr>
        <w:pBdr/>
        <w:spacing w:after="120"/>
        <w:ind w:right="0" w:hanging="709" w:left="709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bCs/>
          <w:sz w:val="22"/>
          <w:szCs w:val="22"/>
          <w:lang w:eastAsia="en-US"/>
        </w:rPr>
        <w:t xml:space="preserve">WARIANT I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jako cena stała (gr/kWh) na cały rok 2026;</w:t>
      </w: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>
      <w:pPr>
        <w:pStyle w:val="921"/>
        <w:numPr>
          <w:ilvl w:val="0"/>
          <w:numId w:val="10"/>
        </w:numPr>
        <w:pBdr/>
        <w:spacing w:after="120"/>
        <w:ind w:right="0" w:hanging="709" w:left="709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bCs/>
          <w:sz w:val="22"/>
          <w:szCs w:val="22"/>
          <w:lang w:eastAsia="en-US"/>
        </w:rPr>
        <w:t xml:space="preserve">WARIANT II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jako cena średnia arytmetyczna miesięcznych notowań giełdowych indeksu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TGEgazDA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plus narzut sprzedawcy (gr/kWh).</w:t>
      </w: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>
      <w:pPr>
        <w:pBdr/>
        <w:spacing w:after="120"/>
        <w:ind/>
        <w:jc w:val="both"/>
        <w:rPr>
          <w:rFonts w:ascii="Arial" w:hAnsi="Arial" w:eastAsia="Calibri" w:cs="Arial"/>
          <w:sz w:val="22"/>
          <w:szCs w:val="22"/>
          <w:lang w:eastAsia="en-US"/>
          <w14:ligatures w14:val="none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Dopuszcza się składanie ofert w jednym z wariantów.</w:t>
      </w: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none"/>
        </w:rPr>
      </w:r>
    </w:p>
    <w:p>
      <w:pPr>
        <w:pStyle w:val="921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3" w:left="425"/>
        <w:jc w:val="both"/>
        <w:rPr>
          <w:rFonts w:ascii="Arial" w:hAnsi="Arial" w:eastAsia="Calibri" w:cs="Arial"/>
          <w:sz w:val="22"/>
          <w:szCs w:val="22"/>
          <w:lang w:eastAsia="en-US"/>
          <w14:ligatures w14:val="none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Do oferty należy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dołączyć:</w:t>
      </w:r>
      <w:r>
        <w:rPr>
          <w:rFonts w:ascii="Arial" w:hAnsi="Arial" w:eastAsia="Calibri" w:cs="Arial"/>
          <w:sz w:val="22"/>
          <w:szCs w:val="22"/>
          <w:lang w:eastAsia="en-US"/>
          <w14:ligatures w14:val="none"/>
        </w:rPr>
      </w:r>
    </w:p>
    <w:p>
      <w:pPr>
        <w:pStyle w:val="921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425" w:left="850"/>
        <w:jc w:val="both"/>
        <w:rPr>
          <w:rFonts w:ascii="Arial" w:hAnsi="Arial" w:eastAsia="Calibri" w:cs="Arial"/>
          <w:sz w:val="22"/>
          <w:szCs w:val="22"/>
          <w:lang w:eastAsia="en-US"/>
          <w14:ligatures w14:val="none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 aktualną koncesję na obrót paliwami gazowymi (OPG) wydaną przez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Prezes Urzędu Regulacji Energetyki i inne dokumenty wymagane prawem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, </w:t>
      </w:r>
      <w:r>
        <w:rPr>
          <w:rFonts w:ascii="Arial" w:hAnsi="Arial" w:eastAsia="Calibri" w:cs="Arial"/>
          <w:sz w:val="22"/>
          <w:szCs w:val="22"/>
          <w:lang w:eastAsia="en-US"/>
          <w14:ligatures w14:val="none"/>
        </w:rPr>
      </w:r>
    </w:p>
    <w:p>
      <w:pPr>
        <w:pStyle w:val="921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425" w:left="850"/>
        <w:jc w:val="both"/>
        <w:rPr>
          <w:rFonts w:ascii="Arial" w:hAnsi="Arial" w:eastAsia="Calibri" w:cs="Arial"/>
          <w:sz w:val="22"/>
          <w:szCs w:val="22"/>
          <w:lang w:eastAsia="en-US"/>
          <w14:ligatures w14:val="none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informację o dacie rozpoczęcia działalności związanej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z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obrotem paliw gazowych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, </w:t>
      </w:r>
      <w:r>
        <w:rPr>
          <w:rFonts w:ascii="Arial" w:hAnsi="Arial" w:eastAsia="Calibri" w:cs="Arial"/>
          <w:sz w:val="22"/>
          <w:szCs w:val="22"/>
          <w:lang w:eastAsia="en-US"/>
          <w14:ligatures w14:val="none"/>
        </w:rPr>
      </w:r>
    </w:p>
    <w:p>
      <w:pPr>
        <w:pStyle w:val="921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425" w:left="850"/>
        <w:jc w:val="both"/>
        <w:rPr>
          <w:rFonts w:ascii="Arial" w:hAnsi="Arial" w:eastAsia="Calibri" w:cs="Arial"/>
          <w:sz w:val="22"/>
          <w:szCs w:val="22"/>
          <w:lang w:eastAsia="en-US"/>
          <w14:ligatures w14:val="none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draft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(propozycję)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 umowy sprzedaży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, </w:t>
      </w:r>
      <w:r>
        <w:rPr>
          <w:rFonts w:ascii="Arial" w:hAnsi="Arial" w:eastAsia="Calibri" w:cs="Arial"/>
          <w:sz w:val="22"/>
          <w:szCs w:val="22"/>
          <w:lang w:eastAsia="en-US"/>
          <w14:ligatures w14:val="none"/>
        </w:rPr>
      </w:r>
    </w:p>
    <w:p>
      <w:pPr>
        <w:pStyle w:val="921"/>
        <w:numPr>
          <w:ilvl w:val="0"/>
          <w:numId w:val="1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425" w:left="850"/>
        <w:jc w:val="both"/>
        <w:rPr>
          <w:rFonts w:ascii="Arial" w:hAnsi="Arial" w:eastAsia="Calibri" w:cs="Arial"/>
          <w:sz w:val="22"/>
          <w:szCs w:val="22"/>
          <w:lang w:eastAsia="en-US"/>
          <w14:ligatures w14:val="none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oświadczenie, że wykonawca nie jest wykonawcą </w:t>
      </w:r>
      <w:r>
        <w:rPr>
          <w:rFonts w:ascii="Arial" w:hAnsi="Arial" w:eastAsia="Calibri" w:cs="Arial"/>
          <w:sz w:val="22"/>
          <w:szCs w:val="22"/>
        </w:rPr>
        <w:t xml:space="preserve"> wymienionym </w:t>
      </w:r>
      <w:r>
        <w:rPr>
          <w:rFonts w:ascii="Arial" w:hAnsi="Arial" w:eastAsia="Calibri" w:cs="Arial"/>
          <w:sz w:val="22"/>
          <w:szCs w:val="22"/>
        </w:rPr>
        <w:t xml:space="preserve"> w</w:t>
      </w:r>
      <w:r>
        <w:rPr>
          <w:rFonts w:ascii="Arial" w:hAnsi="Arial" w:eastAsia="Calibri" w:cs="Arial"/>
          <w:sz w:val="22"/>
          <w:szCs w:val="22"/>
        </w:rPr>
        <w:t xml:space="preserve"> </w:t>
      </w:r>
      <w:r>
        <w:rPr>
          <w:rFonts w:ascii="Arial" w:hAnsi="Arial" w:eastAsia="Calibri" w:cs="Arial"/>
          <w:sz w:val="22"/>
          <w:szCs w:val="22"/>
        </w:rPr>
        <w:t xml:space="preserve">wykazach określonych w </w:t>
      </w:r>
      <w:r>
        <w:rPr>
          <w:rFonts w:ascii="Arial" w:hAnsi="Arial" w:eastAsia="Calibri" w:cs="Arial"/>
          <w:sz w:val="22"/>
          <w:szCs w:val="22"/>
        </w:rPr>
        <w:t xml:space="preserve">ROZPORZĄDZENIU RADY (WE) nr 765/2006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</w:rPr>
        <w:t xml:space="preserve">z dnia 18 maja 2006 r.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</w:rPr>
        <w:t xml:space="preserve">dotycząc</w:t>
      </w:r>
      <w:r>
        <w:rPr>
          <w:rFonts w:ascii="Arial" w:hAnsi="Arial" w:eastAsia="Calibri" w:cs="Arial"/>
          <w:sz w:val="22"/>
          <w:szCs w:val="22"/>
        </w:rPr>
        <w:t xml:space="preserve">ym </w:t>
      </w:r>
      <w:r>
        <w:rPr>
          <w:rFonts w:ascii="Arial" w:hAnsi="Arial" w:eastAsia="Calibri" w:cs="Arial"/>
          <w:sz w:val="22"/>
          <w:szCs w:val="22"/>
        </w:rPr>
        <w:t xml:space="preserve">środków ograniczających w związku z sytuacją na Białorusi i udziałem Białorusi w agresji Rosji wobec Ukrainy </w:t>
      </w:r>
      <w:r>
        <w:rPr>
          <w:rFonts w:ascii="Arial" w:hAnsi="Arial" w:eastAsia="Calibri" w:cs="Arial"/>
          <w:sz w:val="22"/>
          <w:szCs w:val="22"/>
        </w:rPr>
        <w:t xml:space="preserve"> oraz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</w:rPr>
        <w:t xml:space="preserve">ROZPORZĄDZENI</w:t>
      </w:r>
      <w:r>
        <w:rPr>
          <w:rFonts w:ascii="Arial" w:hAnsi="Arial" w:eastAsia="Calibri" w:cs="Arial"/>
          <w:sz w:val="22"/>
          <w:szCs w:val="22"/>
        </w:rPr>
        <w:t xml:space="preserve">U</w:t>
      </w:r>
      <w:r>
        <w:rPr>
          <w:rFonts w:ascii="Arial" w:hAnsi="Arial" w:eastAsia="Calibri" w:cs="Arial"/>
          <w:sz w:val="22"/>
          <w:szCs w:val="22"/>
        </w:rPr>
        <w:t xml:space="preserve"> RADY (UE) NR 269/2014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</w:rPr>
        <w:t xml:space="preserve">z dnia 17 marca 2014 r.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</w:rPr>
        <w:t xml:space="preserve">w sprawie środków ograniczających w odniesieniu do działań podważających integralność terytorialną, suwerenność i niezależność Ukrainy lub im zagrażających 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albo wpisanym na listę, o której mowa </w:t>
      </w:r>
      <w:r>
        <w:rPr>
          <w:rFonts w:ascii="Arial" w:hAnsi="Arial" w:eastAsia="Calibri" w:cs="Arial"/>
          <w:sz w:val="22"/>
          <w:szCs w:val="22"/>
          <w:lang w:eastAsia="en-US"/>
        </w:rPr>
        <w:t xml:space="preserve">w  </w:t>
      </w:r>
      <w:r>
        <w:rPr>
          <w:rFonts w:ascii="Arial" w:hAnsi="Arial" w:eastAsia="Calibri" w:cs="Arial"/>
          <w:sz w:val="22"/>
          <w:szCs w:val="22"/>
        </w:rPr>
        <w:t xml:space="preserve">USTAW</w:t>
      </w:r>
      <w:r>
        <w:rPr>
          <w:rFonts w:ascii="Arial" w:hAnsi="Arial" w:eastAsia="Calibri" w:cs="Arial"/>
          <w:sz w:val="22"/>
          <w:szCs w:val="22"/>
        </w:rPr>
        <w:t xml:space="preserve">IE </w:t>
      </w:r>
      <w:r>
        <w:rPr>
          <w:rFonts w:ascii="Arial" w:hAnsi="Arial" w:eastAsia="Calibri" w:cs="Arial"/>
          <w:sz w:val="22"/>
          <w:szCs w:val="22"/>
        </w:rPr>
        <w:t xml:space="preserve">z dnia 13 kwietnia 2022 r.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</w:rPr>
        <w:t xml:space="preserve">o szczególnych rozwiązaniach w zakresie przeciwdziałania wspieraniu agresji na Ukrainę oraz służących ochronie bezpieczeństwa narodowego </w:t>
      </w:r>
      <w:r>
        <w:rPr>
          <w:rFonts w:ascii="Arial" w:hAnsi="Arial" w:eastAsia="Calibri" w:cs="Arial"/>
          <w:sz w:val="22"/>
          <w:szCs w:val="22"/>
        </w:rPr>
        <w:t xml:space="preserve">(Dz.U.2025.514 t.j.)</w:t>
      </w:r>
      <w:r/>
      <w:r>
        <w:rPr>
          <w:rFonts w:ascii="Arial" w:hAnsi="Arial" w:eastAsia="Calibri" w:cs="Arial"/>
          <w:sz w:val="22"/>
          <w:szCs w:val="22"/>
          <w:lang w:eastAsia="en-US"/>
          <w14:ligatures w14:val="none"/>
        </w:rPr>
      </w:r>
    </w:p>
    <w:p>
      <w:pPr>
        <w:pStyle w:val="921"/>
        <w:numPr>
          <w:ilvl w:val="0"/>
          <w:numId w:val="13"/>
        </w:numPr>
        <w:pBdr/>
        <w:spacing w:after="120"/>
        <w:ind w:right="0" w:hanging="425" w:left="850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informację o wolumenie sprzedaży gazu ziemnego w roku 2024.</w:t>
      </w:r>
      <w:r>
        <w:rPr>
          <w:rFonts w:ascii="Arial" w:hAnsi="Arial" w:eastAsia="Calibri" w:cs="Arial"/>
          <w:sz w:val="22"/>
          <w:szCs w:val="22"/>
          <w:lang w:eastAsia="en-US"/>
        </w:rPr>
      </w:r>
      <w:r>
        <w:rPr>
          <w:rFonts w:ascii="Arial" w:hAnsi="Arial" w:eastAsia="Calibri" w:cs="Arial"/>
          <w:sz w:val="22"/>
          <w:szCs w:val="22"/>
          <w:lang w:eastAsia="en-US"/>
        </w:rPr>
      </w:r>
    </w:p>
    <w:p>
      <w:pPr>
        <w:suppressLineNumbers w:val="false"/>
        <w:pBdr/>
        <w:spacing w:after="120" w:before="0" w:line="120" w:lineRule="auto"/>
        <w:ind w:right="0" w:firstLine="0" w:left="850"/>
        <w:jc w:val="both"/>
        <w:rPr>
          <w:rFonts w:ascii="Arial" w:hAnsi="Arial" w:eastAsia="Calibri" w:cs="Arial"/>
          <w:sz w:val="16"/>
          <w:szCs w:val="16"/>
        </w:rPr>
      </w:pPr>
      <w:r>
        <w:rPr>
          <w:rFonts w:ascii="Arial" w:hAnsi="Arial" w:eastAsia="Calibri" w:cs="Arial"/>
          <w:sz w:val="16"/>
          <w:szCs w:val="16"/>
          <w:highlight w:val="none"/>
          <w:lang w:eastAsia="en-US"/>
        </w:rPr>
      </w:r>
      <w:r>
        <w:rPr>
          <w:rFonts w:ascii="Arial" w:hAnsi="Arial" w:eastAsia="Calibri" w:cs="Arial"/>
          <w:sz w:val="16"/>
          <w:szCs w:val="16"/>
          <w:highlight w:val="none"/>
          <w:lang w:eastAsia="en-US"/>
        </w:rPr>
      </w:r>
      <w:r>
        <w:rPr>
          <w:rFonts w:ascii="Arial" w:hAnsi="Arial" w:eastAsia="Calibri" w:cs="Arial"/>
          <w:sz w:val="16"/>
          <w:szCs w:val="16"/>
        </w:rPr>
      </w:r>
    </w:p>
    <w:p>
      <w:pPr>
        <w:pStyle w:val="921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3" w:left="425"/>
        <w:jc w:val="both"/>
        <w:rPr>
          <w:rFonts w:ascii="Arial" w:hAnsi="Arial" w:eastAsia="Calibri" w:cs="Arial"/>
          <w:i/>
          <w:iCs/>
          <w:sz w:val="22"/>
          <w:szCs w:val="22"/>
          <w14:ligatures w14:val="none"/>
        </w:rPr>
      </w:pPr>
      <w:r>
        <w:rPr>
          <w:rFonts w:ascii="Arial" w:hAnsi="Arial" w:eastAsia="Calibri" w:cs="Arial"/>
          <w:i/>
          <w:iCs/>
          <w:sz w:val="22"/>
          <w:szCs w:val="22"/>
        </w:rPr>
        <w:t xml:space="preserve">Ofertę należy sporządzić w formie </w:t>
      </w:r>
      <w:r>
        <w:rPr>
          <w:rFonts w:ascii="Arial" w:hAnsi="Arial" w:eastAsia="Calibri" w:cs="Arial"/>
          <w:i/>
          <w:iCs/>
          <w:sz w:val="22"/>
          <w:szCs w:val="22"/>
        </w:rPr>
        <w:t xml:space="preserve">e</w:t>
      </w:r>
      <w:r>
        <w:rPr>
          <w:rFonts w:ascii="Arial" w:hAnsi="Arial" w:eastAsia="Calibri" w:cs="Arial"/>
          <w:i/>
          <w:iCs/>
          <w:sz w:val="22"/>
          <w:szCs w:val="22"/>
        </w:rPr>
        <w:t xml:space="preserve">l</w:t>
      </w:r>
      <w:r>
        <w:rPr>
          <w:rFonts w:ascii="Arial" w:hAnsi="Arial" w:eastAsia="Calibri" w:cs="Arial"/>
          <w:i/>
          <w:iCs/>
          <w:sz w:val="22"/>
          <w:szCs w:val="22"/>
        </w:rPr>
        <w:t xml:space="preserve">ektroniczne</w:t>
      </w:r>
      <w:r>
        <w:rPr>
          <w:rFonts w:ascii="Arial" w:hAnsi="Arial" w:eastAsia="Calibri" w:cs="Arial"/>
          <w:i/>
          <w:iCs/>
          <w:sz w:val="22"/>
          <w:szCs w:val="22"/>
        </w:rPr>
        <w:t xml:space="preserve">j</w:t>
      </w:r>
      <w:r>
        <w:rPr>
          <w:rFonts w:ascii="Arial" w:hAnsi="Arial" w:eastAsia="Calibri" w:cs="Arial"/>
          <w:i/>
          <w:iCs/>
          <w:sz w:val="22"/>
          <w:szCs w:val="22"/>
        </w:rPr>
        <w:t xml:space="preserve"> </w:t>
      </w:r>
      <w:r>
        <w:rPr>
          <w:rFonts w:ascii="Arial" w:hAnsi="Arial" w:eastAsia="Calibri" w:cs="Arial"/>
          <w:i/>
          <w:iCs/>
          <w:sz w:val="22"/>
          <w:szCs w:val="22"/>
        </w:rPr>
        <w:t xml:space="preserve">na Formularzu ofertowym załączonym do zapytania</w:t>
      </w:r>
      <w:r>
        <w:rPr>
          <w:rFonts w:ascii="Arial" w:hAnsi="Arial" w:eastAsia="Calibri" w:cs="Arial"/>
          <w:i/>
          <w:iCs/>
          <w:sz w:val="22"/>
          <w:szCs w:val="22"/>
        </w:rPr>
        <w:t xml:space="preserve"> wraz z niezbędnymi załącznikami</w:t>
      </w:r>
      <w:r>
        <w:rPr>
          <w:rFonts w:ascii="Arial" w:hAnsi="Arial" w:eastAsia="Calibri" w:cs="Arial"/>
          <w:i/>
          <w:iCs/>
          <w:sz w:val="22"/>
          <w:szCs w:val="22"/>
        </w:rPr>
        <w:t xml:space="preserve">.</w:t>
      </w:r>
      <w:r>
        <w:rPr>
          <w:rFonts w:ascii="Arial" w:hAnsi="Arial" w:eastAsia="Calibri" w:cs="Arial"/>
          <w:i/>
          <w:iCs/>
          <w:sz w:val="22"/>
          <w:szCs w:val="22"/>
          <w14:ligatures w14:val="none"/>
        </w:rPr>
      </w:r>
      <w:r>
        <w:rPr>
          <w:rFonts w:ascii="Arial" w:hAnsi="Arial" w:eastAsia="Calibri" w:cs="Arial"/>
          <w:i/>
          <w:iCs/>
          <w:sz w:val="22"/>
          <w:szCs w:val="22"/>
          <w14:ligatures w14:val="none"/>
        </w:rPr>
      </w:r>
    </w:p>
    <w:p>
      <w:pPr>
        <w:suppressLineNumbers w:val="false"/>
        <w:pBdr/>
        <w:spacing w:after="0" w:before="0" w:line="120" w:lineRule="auto"/>
        <w:ind/>
        <w:rPr>
          <w:rFonts w:ascii="Arial" w:hAnsi="Arial" w:eastAsia="Calibri" w:cs="Arial"/>
          <w:sz w:val="16"/>
          <w:szCs w:val="16"/>
        </w:rPr>
      </w:pPr>
      <w:r>
        <w:rPr>
          <w:rFonts w:ascii="Arial" w:hAnsi="Arial" w:eastAsia="Calibri" w:cs="Arial"/>
          <w:sz w:val="16"/>
          <w:szCs w:val="16"/>
        </w:rPr>
      </w:r>
      <w:r>
        <w:rPr>
          <w:rFonts w:ascii="Arial" w:hAnsi="Arial" w:eastAsia="Calibri" w:cs="Arial"/>
          <w:sz w:val="16"/>
          <w:szCs w:val="16"/>
        </w:rPr>
      </w:r>
      <w:r>
        <w:rPr>
          <w:rFonts w:ascii="Arial" w:hAnsi="Arial" w:eastAsia="Calibri" w:cs="Arial"/>
          <w:sz w:val="16"/>
          <w:szCs w:val="16"/>
        </w:rPr>
      </w:r>
    </w:p>
    <w:p>
      <w:pPr>
        <w:pStyle w:val="921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3" w:left="425"/>
        <w:jc w:val="both"/>
        <w:rPr>
          <w:rFonts w:ascii="Arial" w:hAnsi="Arial" w:eastAsia="Calibri" w:cs="Arial"/>
          <w:b/>
          <w:bCs/>
          <w:sz w:val="22"/>
          <w:szCs w:val="22"/>
          <w14:ligatures w14:val="none"/>
        </w:rPr>
      </w:pPr>
      <w:r>
        <w:rPr>
          <w:rFonts w:ascii="Arial" w:hAnsi="Arial" w:eastAsia="Calibri" w:cs="Arial"/>
          <w:sz w:val="22"/>
          <w:szCs w:val="22"/>
        </w:rPr>
        <w:t xml:space="preserve">Termin składania: 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2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6.0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8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.2025 r</w:t>
      </w:r>
      <w:r>
        <w:rPr>
          <w:rFonts w:ascii="Arial" w:hAnsi="Arial" w:eastAsia="Calibri" w:cs="Arial"/>
          <w:b/>
          <w:bCs/>
          <w:sz w:val="22"/>
          <w:szCs w:val="22"/>
          <w:lang w:val="pl-PL"/>
        </w:rPr>
        <w:t xml:space="preserve">.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</w:rPr>
        <w:t xml:space="preserve">do godz. 1</w:t>
      </w:r>
      <w:r>
        <w:rPr>
          <w:rFonts w:ascii="Arial" w:hAnsi="Arial" w:eastAsia="Calibri" w:cs="Arial"/>
          <w:sz w:val="22"/>
          <w:szCs w:val="22"/>
        </w:rPr>
        <w:t xml:space="preserve">0</w:t>
      </w:r>
      <w:r>
        <w:rPr>
          <w:rFonts w:ascii="Arial" w:hAnsi="Arial" w:eastAsia="Calibri" w:cs="Arial"/>
          <w:sz w:val="22"/>
          <w:szCs w:val="22"/>
        </w:rPr>
        <w:t xml:space="preserve">.00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</w:rPr>
        <w:t xml:space="preserve">na adres</w:t>
      </w:r>
      <w:r>
        <w:rPr>
          <w:rFonts w:ascii="Arial" w:hAnsi="Arial" w:eastAsia="Calibri" w:cs="Arial"/>
          <w:sz w:val="22"/>
          <w:szCs w:val="22"/>
        </w:rPr>
        <w:t xml:space="preserve"> email: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pimb@pimb.com.pl</w:t>
      </w:r>
      <w:r>
        <w:rPr>
          <w:rFonts w:ascii="Arial" w:hAnsi="Arial" w:eastAsia="Calibri" w:cs="Arial"/>
          <w:b/>
          <w:bCs/>
          <w:sz w:val="22"/>
          <w:szCs w:val="22"/>
          <w14:ligatures w14:val="none"/>
        </w:rPr>
      </w:r>
      <w:r>
        <w:rPr>
          <w:rFonts w:ascii="Arial" w:hAnsi="Arial" w:eastAsia="Calibri" w:cs="Arial"/>
          <w:b/>
          <w:bCs/>
          <w:sz w:val="22"/>
          <w:szCs w:val="22"/>
          <w14:ligatures w14:val="none"/>
        </w:rPr>
      </w:r>
    </w:p>
    <w:p>
      <w:pPr>
        <w:pBdr/>
        <w:spacing w:line="276" w:lineRule="auto"/>
        <w:ind/>
        <w:rPr>
          <w:rFonts w:ascii="Arial" w:hAnsi="Arial" w:eastAsia="Calibri" w:cs="Arial"/>
          <w:b/>
          <w:bCs/>
          <w:sz w:val="16"/>
          <w:szCs w:val="16"/>
        </w:rPr>
      </w:pPr>
      <w:r>
        <w:rPr>
          <w:rFonts w:ascii="Arial" w:hAnsi="Arial" w:eastAsia="Calibri" w:cs="Arial"/>
          <w:b/>
          <w:bCs/>
          <w:sz w:val="16"/>
          <w:szCs w:val="16"/>
        </w:rPr>
      </w:r>
      <w:r>
        <w:rPr>
          <w:rFonts w:ascii="Arial" w:hAnsi="Arial" w:eastAsia="Calibri" w:cs="Arial"/>
          <w:b/>
          <w:bCs/>
          <w:sz w:val="16"/>
          <w:szCs w:val="16"/>
        </w:rPr>
      </w:r>
      <w:r>
        <w:rPr>
          <w:rFonts w:ascii="Arial" w:hAnsi="Arial" w:eastAsia="Calibri" w:cs="Arial"/>
          <w:b/>
          <w:bCs/>
          <w:sz w:val="16"/>
          <w:szCs w:val="16"/>
        </w:rPr>
      </w:r>
    </w:p>
    <w:p>
      <w:pPr>
        <w:pStyle w:val="921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3" w:left="425"/>
        <w:jc w:val="both"/>
        <w:rPr>
          <w:rFonts w:ascii="Arial" w:hAnsi="Arial" w:eastAsia="Calibri" w:cs="Arial"/>
          <w:b/>
          <w:bCs/>
          <w:sz w:val="22"/>
          <w:szCs w:val="22"/>
          <w14:ligatures w14:val="none"/>
        </w:rPr>
      </w:pPr>
      <w:r>
        <w:rPr>
          <w:rFonts w:ascii="Arial" w:hAnsi="Arial" w:eastAsia="Calibri" w:cs="Arial"/>
          <w:sz w:val="22"/>
          <w:szCs w:val="22"/>
        </w:rPr>
        <w:t xml:space="preserve">Wykonawca pozostaje związany ofertą przez </w:t>
      </w:r>
      <w:r>
        <w:rPr>
          <w:rFonts w:ascii="Arial" w:hAnsi="Arial" w:eastAsia="Calibri" w:cs="Arial"/>
          <w:sz w:val="22"/>
          <w:szCs w:val="22"/>
        </w:rPr>
        <w:t xml:space="preserve">okres 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24 godzin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 dla 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wariantu I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sz w:val="22"/>
          <w:szCs w:val="22"/>
        </w:rPr>
        <w:t xml:space="preserve">i</w:t>
      </w:r>
      <w:r>
        <w:rPr>
          <w:rFonts w:ascii="Arial" w:hAnsi="Arial" w:eastAsia="Calibri" w:cs="Arial"/>
          <w:sz w:val="22"/>
          <w:szCs w:val="22"/>
        </w:rPr>
        <w:t xml:space="preserve"> 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14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 dni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 dla 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wariantu II</w:t>
      </w:r>
      <w:r>
        <w:rPr>
          <w:rFonts w:ascii="Arial" w:hAnsi="Arial" w:eastAsia="Calibri" w:cs="Arial"/>
          <w:b/>
          <w:bCs/>
          <w:sz w:val="22"/>
          <w:szCs w:val="22"/>
        </w:rPr>
        <w:t xml:space="preserve">.</w:t>
      </w:r>
      <w:r>
        <w:rPr>
          <w:rFonts w:ascii="Arial" w:hAnsi="Arial" w:eastAsia="Calibri" w:cs="Arial"/>
          <w:b/>
          <w:bCs/>
          <w:sz w:val="22"/>
          <w:szCs w:val="22"/>
          <w14:ligatures w14:val="none"/>
        </w:rPr>
      </w:r>
      <w:r>
        <w:rPr>
          <w:rFonts w:ascii="Arial" w:hAnsi="Arial" w:eastAsia="Calibri" w:cs="Arial"/>
          <w:b/>
          <w:bCs/>
          <w:sz w:val="22"/>
          <w:szCs w:val="22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20" w:lineRule="auto"/>
        <w:ind w:firstLine="0" w:left="0"/>
        <w:rPr>
          <w:rFonts w:ascii="Arial" w:hAnsi="Arial" w:eastAsia="Calibri" w:cs="Arial"/>
          <w:b/>
          <w:bCs/>
          <w:sz w:val="16"/>
          <w:szCs w:val="16"/>
          <w14:ligatures w14:val="none"/>
        </w:rPr>
      </w:pPr>
      <w:r>
        <w:rPr>
          <w:rFonts w:ascii="Arial" w:hAnsi="Arial" w:eastAsia="Calibri" w:cs="Arial"/>
          <w:b/>
          <w:bCs/>
          <w:sz w:val="16"/>
          <w:szCs w:val="16"/>
        </w:rPr>
      </w:r>
      <w:r>
        <w:rPr>
          <w:rFonts w:ascii="Arial" w:hAnsi="Arial" w:eastAsia="Calibri" w:cs="Arial"/>
          <w:b/>
          <w:bCs/>
          <w:sz w:val="16"/>
          <w:szCs w:val="16"/>
          <w14:ligatures w14:val="none"/>
        </w:rPr>
      </w:r>
      <w:r>
        <w:rPr>
          <w:rFonts w:ascii="Arial" w:hAnsi="Arial" w:eastAsia="Calibri" w:cs="Arial"/>
          <w:b/>
          <w:bCs/>
          <w:sz w:val="16"/>
          <w:szCs w:val="16"/>
          <w14:ligatures w14:val="none"/>
        </w:rPr>
      </w:r>
    </w:p>
    <w:p>
      <w:pPr>
        <w:pStyle w:val="921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3" w:left="425"/>
        <w:jc w:val="both"/>
        <w:rPr>
          <w:rFonts w:ascii="Arial" w:hAnsi="Arial" w:eastAsia="Calibri" w:cs="Arial"/>
          <w:sz w:val="22"/>
          <w:szCs w:val="22"/>
          <w14:ligatures w14:val="none"/>
        </w:rPr>
      </w:pPr>
      <w:r>
        <w:rPr>
          <w:rFonts w:ascii="Arial" w:hAnsi="Arial" w:eastAsia="Calibri" w:cs="Arial"/>
          <w:sz w:val="22"/>
          <w:szCs w:val="22"/>
        </w:rPr>
        <w:t xml:space="preserve">Kryteria oceny ofert</w:t>
      </w:r>
      <w:r>
        <w:rPr>
          <w:rFonts w:ascii="Arial" w:hAnsi="Arial" w:eastAsia="Calibri" w:cs="Arial"/>
          <w:sz w:val="22"/>
          <w:szCs w:val="22"/>
        </w:rPr>
        <w:t xml:space="preserve">:</w:t>
      </w:r>
      <w:r>
        <w:rPr>
          <w:rFonts w:ascii="Arial" w:hAnsi="Arial" w:eastAsia="Calibri" w:cs="Arial"/>
          <w:sz w:val="22"/>
          <w:szCs w:val="22"/>
          <w14:ligatures w14:val="none"/>
        </w:rPr>
      </w:r>
      <w:r>
        <w:rPr>
          <w:rFonts w:ascii="Arial" w:hAnsi="Arial" w:eastAsia="Calibri" w:cs="Arial"/>
          <w:sz w:val="22"/>
          <w:szCs w:val="22"/>
          <w14:ligatures w14:val="none"/>
        </w:rPr>
      </w:r>
    </w:p>
    <w:p>
      <w:pPr>
        <w:pStyle w:val="926"/>
        <w:numPr>
          <w:ilvl w:val="0"/>
          <w:numId w:val="8"/>
        </w:numPr>
        <w:pBdr/>
        <w:spacing w:line="276" w:lineRule="auto"/>
        <w:ind w:right="0" w:hanging="425" w:lef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9</w:t>
      </w:r>
      <w:r>
        <w:rPr>
          <w:rFonts w:ascii="Arial" w:hAnsi="Arial" w:cs="Arial"/>
          <w:sz w:val="22"/>
          <w:szCs w:val="22"/>
        </w:rPr>
        <w:t xml:space="preserve">0 pkt),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26"/>
        <w:numPr>
          <w:ilvl w:val="0"/>
          <w:numId w:val="8"/>
        </w:numPr>
        <w:pBdr/>
        <w:spacing w:line="276" w:lineRule="auto"/>
        <w:ind w:right="0" w:hanging="425" w:left="850"/>
        <w:rPr>
          <w:rFonts w:ascii="Arial" w:hAnsi="Arial" w:cs="Arial"/>
          <w:sz w:val="22"/>
          <w:szCs w:val="22"/>
          <w:highlight w:val="none"/>
        </w:rPr>
      </w:pPr>
      <w:r>
        <w:rPr>
          <w:rFonts w:ascii="Arial" w:hAnsi="Arial" w:cs="Arial"/>
          <w:sz w:val="22"/>
          <w:szCs w:val="22"/>
        </w:rPr>
        <w:t xml:space="preserve">okres działalności związany z obrotem paliw gazowych </w:t>
      </w:r>
      <w:r>
        <w:rPr>
          <w:rFonts w:ascii="Arial" w:hAnsi="Arial" w:cs="Arial"/>
          <w:sz w:val="22"/>
          <w:szCs w:val="22"/>
          <w:highlight w:val="none"/>
        </w:rPr>
        <w:t xml:space="preserve">(</w:t>
      </w:r>
      <w:r>
        <w:rPr>
          <w:rFonts w:ascii="Arial" w:hAnsi="Arial" w:cs="Arial"/>
          <w:sz w:val="22"/>
          <w:szCs w:val="22"/>
          <w:highlight w:val="none"/>
        </w:rPr>
        <w:t xml:space="preserve">max</w:t>
      </w:r>
      <w:r>
        <w:rPr>
          <w:rFonts w:ascii="Arial" w:hAnsi="Arial" w:cs="Arial"/>
          <w:sz w:val="22"/>
          <w:szCs w:val="22"/>
        </w:rPr>
        <w:t xml:space="preserve"> 5 pkt.</w:t>
      </w:r>
      <w:r>
        <w:rPr>
          <w:rFonts w:ascii="Arial" w:hAnsi="Arial" w:cs="Arial"/>
          <w:sz w:val="22"/>
          <w:szCs w:val="22"/>
        </w:rPr>
        <w:t xml:space="preserve"> proporcjonalnie </w:t>
      </w:r>
      <w:r>
        <w:rPr>
          <w:rFonts w:ascii="Arial" w:hAnsi="Arial" w:cs="Arial"/>
          <w:sz w:val="22"/>
          <w:szCs w:val="22"/>
          <w:highlight w:val="none"/>
        </w:rPr>
        <w:t xml:space="preserve">przydzielane</w:t>
      </w:r>
      <w:r>
        <w:rPr>
          <w:rFonts w:ascii="Arial" w:hAnsi="Arial" w:cs="Arial"/>
          <w:sz w:val="22"/>
          <w:szCs w:val="22"/>
          <w:highlight w:val="none"/>
        </w:rPr>
        <w:t xml:space="preserve">),</w:t>
      </w:r>
      <w:r>
        <w:rPr>
          <w:rFonts w:ascii="Arial" w:hAnsi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  <w:highlight w:val="none"/>
        </w:rPr>
      </w:r>
    </w:p>
    <w:p>
      <w:pPr>
        <w:pStyle w:val="926"/>
        <w:numPr>
          <w:ilvl w:val="0"/>
          <w:numId w:val="8"/>
        </w:numPr>
        <w:pBdr/>
        <w:spacing w:line="276" w:lineRule="auto"/>
        <w:ind w:right="0" w:hanging="425" w:left="850"/>
        <w:rPr>
          <w:rFonts w:ascii="Arial" w:hAnsi="Arial" w:cs="Arial"/>
          <w:sz w:val="22"/>
          <w:szCs w:val="22"/>
          <w:highlight w:val="none"/>
        </w:rPr>
      </w:pPr>
      <w:r>
        <w:rPr>
          <w:rFonts w:ascii="Arial" w:hAnsi="Arial" w:cs="Arial"/>
          <w:sz w:val="22"/>
          <w:szCs w:val="22"/>
        </w:rPr>
        <w:t xml:space="preserve">wolumen sprzedaży gazu ziemnego w roku 2024 </w:t>
      </w:r>
      <w:r>
        <w:rPr>
          <w:rFonts w:ascii="Arial" w:hAnsi="Arial" w:cs="Arial"/>
          <w:sz w:val="22"/>
          <w:szCs w:val="22"/>
        </w:rPr>
        <w:t xml:space="preserve">(</w:t>
      </w:r>
      <w:r>
        <w:rPr>
          <w:rFonts w:ascii="Arial" w:hAnsi="Arial" w:cs="Arial"/>
          <w:sz w:val="22"/>
          <w:szCs w:val="22"/>
          <w:highlight w:val="none"/>
        </w:rPr>
        <w:t xml:space="preserve">max</w:t>
      </w:r>
      <w:r>
        <w:rPr>
          <w:rFonts w:ascii="Arial" w:hAnsi="Arial" w:cs="Arial"/>
          <w:sz w:val="22"/>
          <w:szCs w:val="22"/>
          <w:highlight w:val="non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 pkt, </w:t>
      </w:r>
      <w:r>
        <w:rPr>
          <w:rFonts w:ascii="Arial" w:hAnsi="Arial" w:cs="Arial"/>
          <w:sz w:val="22"/>
          <w:szCs w:val="22"/>
        </w:rPr>
        <w:t xml:space="preserve"> proporcjonalnie </w:t>
      </w:r>
      <w:r>
        <w:rPr>
          <w:rFonts w:ascii="Arial" w:hAnsi="Arial" w:cs="Arial"/>
          <w:sz w:val="22"/>
          <w:szCs w:val="22"/>
          <w:highlight w:val="none"/>
        </w:rPr>
        <w:t xml:space="preserve">przydzielane</w:t>
      </w:r>
      <w:r>
        <w:rPr>
          <w:rFonts w:ascii="Arial" w:hAnsi="Arial" w:cs="Arial"/>
          <w:sz w:val="22"/>
          <w:szCs w:val="22"/>
          <w:highlight w:val="none"/>
        </w:rPr>
        <w:t xml:space="preserve">).</w:t>
      </w:r>
      <w:r>
        <w:rPr>
          <w:rFonts w:ascii="Arial" w:hAnsi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  <w:highlight w:val="none"/>
        </w:rPr>
      </w:r>
    </w:p>
    <w:p>
      <w:pPr>
        <w:pStyle w:val="921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3" w:left="425"/>
        <w:jc w:val="both"/>
        <w:rPr>
          <w:rFonts w:ascii="Arial" w:hAnsi="Arial" w:eastAsia="Calibri" w:cs="Arial"/>
          <w:sz w:val="22"/>
          <w:szCs w:val="22"/>
          <w14:ligatures w14:val="none"/>
        </w:rPr>
      </w:pPr>
      <w:r>
        <w:rPr>
          <w:rFonts w:ascii="Arial" w:hAnsi="Arial" w:eastAsia="Calibri" w:cs="Arial"/>
          <w:sz w:val="22"/>
          <w:szCs w:val="22"/>
        </w:rPr>
        <w:t xml:space="preserve">Osoba uprawniona do kontaktu z </w:t>
      </w:r>
      <w:r>
        <w:rPr>
          <w:rFonts w:ascii="Arial" w:hAnsi="Arial" w:eastAsia="Calibri" w:cs="Arial"/>
          <w:sz w:val="22"/>
          <w:szCs w:val="22"/>
        </w:rPr>
        <w:t xml:space="preserve">Dostawcami</w:t>
      </w:r>
      <w:r>
        <w:rPr>
          <w:rFonts w:ascii="Arial" w:hAnsi="Arial" w:eastAsia="Calibri" w:cs="Arial"/>
          <w:sz w:val="22"/>
          <w:szCs w:val="22"/>
        </w:rPr>
        <w:t xml:space="preserve">:</w:t>
      </w:r>
      <w:r>
        <w:rPr>
          <w:rFonts w:ascii="Arial" w:hAnsi="Arial" w:eastAsia="Calibri" w:cs="Arial"/>
          <w:sz w:val="22"/>
          <w:szCs w:val="22"/>
          <w14:ligatures w14:val="none"/>
        </w:rPr>
      </w:r>
      <w:r>
        <w:rPr>
          <w:rFonts w:ascii="Arial" w:hAnsi="Arial" w:eastAsia="Calibri" w:cs="Arial"/>
          <w:sz w:val="22"/>
          <w:szCs w:val="22"/>
          <w14:ligatures w14:val="none"/>
        </w:rPr>
      </w:r>
    </w:p>
    <w:p>
      <w:pPr>
        <w:pStyle w:val="926"/>
        <w:pBdr/>
        <w:spacing w:line="276" w:lineRule="auto"/>
        <w:ind w:right="0" w:firstLine="0" w:left="425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Marek Kalinko, tel. 785551913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; marek.kalinko@pimb.com.pl</w:t>
      </w:r>
      <w:r>
        <w:rPr>
          <w:rFonts w:ascii="Arial" w:hAnsi="Arial" w:cs="Arial"/>
          <w:b/>
          <w:bCs/>
          <w:i/>
          <w:iCs/>
          <w:sz w:val="22"/>
          <w:szCs w:val="22"/>
        </w:rPr>
      </w:r>
      <w:r>
        <w:rPr>
          <w:rFonts w:ascii="Arial" w:hAnsi="Arial" w:cs="Arial"/>
          <w:b/>
          <w:bCs/>
          <w:i/>
          <w:iCs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20" w:lineRule="auto"/>
        <w:ind w:firstLine="0" w:left="0"/>
        <w:rPr>
          <w:rFonts w:ascii="Arial" w:hAnsi="Arial" w:eastAsia="Calibri" w:cs="Arial"/>
          <w:b/>
          <w:iCs/>
          <w:sz w:val="16"/>
          <w:szCs w:val="16"/>
          <w14:ligatures w14:val="none"/>
        </w:rPr>
      </w:pPr>
      <w:r>
        <w:rPr>
          <w:rFonts w:ascii="Arial" w:hAnsi="Arial" w:eastAsia="Calibri" w:cs="Arial"/>
          <w:b/>
          <w:bCs/>
          <w:sz w:val="16"/>
          <w:szCs w:val="16"/>
        </w:rPr>
      </w:r>
      <w:r>
        <w:rPr>
          <w:rFonts w:ascii="Arial" w:hAnsi="Arial" w:eastAsia="Calibri" w:cs="Arial"/>
          <w:b/>
          <w:iCs/>
          <w:sz w:val="16"/>
          <w:szCs w:val="16"/>
          <w14:ligatures w14:val="none"/>
        </w:rPr>
      </w:r>
      <w:r>
        <w:rPr>
          <w:rFonts w:ascii="Arial" w:hAnsi="Arial" w:eastAsia="Calibri" w:cs="Arial"/>
          <w:b/>
          <w:iCs/>
          <w:sz w:val="16"/>
          <w:szCs w:val="16"/>
          <w14:ligatures w14:val="none"/>
        </w:rPr>
      </w:r>
    </w:p>
    <w:p>
      <w:pPr>
        <w:pStyle w:val="921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3" w:left="425"/>
        <w:jc w:val="both"/>
        <w:rPr>
          <w:rFonts w:ascii="Arial" w:hAnsi="Arial" w:eastAsia="Calibri" w:cs="Arial"/>
          <w:sz w:val="22"/>
          <w:szCs w:val="22"/>
          <w14:ligatures w14:val="none"/>
        </w:rPr>
      </w:pPr>
      <w:r>
        <w:rPr>
          <w:rFonts w:ascii="Arial" w:hAnsi="Arial" w:eastAsia="Calibri" w:cs="Arial"/>
          <w:sz w:val="22"/>
          <w:szCs w:val="22"/>
        </w:rPr>
        <w:t xml:space="preserve">Zamawiający zastrzega sobie możliwość unieważnienia postępowania bez podawania przyczyny. Unieważnienie nie powoduje żadnych roszczeń ze strony Wykonawcy.</w:t>
      </w:r>
      <w:r>
        <w:rPr>
          <w:rFonts w:ascii="Arial" w:hAnsi="Arial" w:eastAsia="Calibri" w:cs="Arial"/>
          <w:sz w:val="22"/>
          <w:szCs w:val="22"/>
          <w14:ligatures w14:val="none"/>
        </w:rPr>
      </w:r>
      <w:r>
        <w:rPr>
          <w:rFonts w:ascii="Arial" w:hAnsi="Arial" w:eastAsia="Calibri" w:cs="Arial"/>
          <w:sz w:val="22"/>
          <w:szCs w:val="22"/>
          <w14:ligatures w14:val="none"/>
        </w:rPr>
      </w:r>
    </w:p>
    <w:p>
      <w:pPr>
        <w:pStyle w:val="926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20" w:lineRule="auto"/>
        <w:ind w:firstLine="0" w:left="0"/>
        <w:rPr>
          <w:rFonts w:ascii="Arial" w:hAnsi="Arial" w:cs="Arial"/>
          <w:b/>
          <w:bCs/>
          <w:i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</w:r>
      <w:r>
        <w:rPr>
          <w:rFonts w:ascii="Arial" w:hAnsi="Arial" w:cs="Arial"/>
          <w:b/>
          <w:bCs/>
          <w:i/>
          <w:sz w:val="16"/>
          <w:szCs w:val="16"/>
          <w14:ligatures w14:val="none"/>
        </w:rPr>
      </w:r>
      <w:r>
        <w:rPr>
          <w:rFonts w:ascii="Arial" w:hAnsi="Arial" w:cs="Arial"/>
          <w:b/>
          <w:bCs/>
          <w:i/>
          <w:sz w:val="16"/>
          <w:szCs w:val="16"/>
          <w14:ligatures w14:val="none"/>
        </w:rPr>
      </w:r>
    </w:p>
    <w:p>
      <w:pPr>
        <w:pStyle w:val="921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3" w:left="425"/>
        <w:jc w:val="both"/>
        <w:rPr>
          <w:rFonts w:ascii="Arial" w:hAnsi="Arial" w:eastAsia="Calibri" w:cs="Arial"/>
          <w:iCs/>
          <w:sz w:val="22"/>
          <w:szCs w:val="22"/>
          <w14:ligatures w14:val="none"/>
        </w:rPr>
      </w:pPr>
      <w:r>
        <w:rPr>
          <w:rFonts w:ascii="Arial" w:hAnsi="Arial" w:eastAsia="Calibri" w:cs="Arial"/>
          <w:sz w:val="22"/>
          <w:szCs w:val="22"/>
        </w:rPr>
        <w:t xml:space="preserve">Do spraw nieuregulowanych w niniejszym Zapytaniu mają zastosowanie przepisy Kodeksu Cywilnego</w:t>
      </w:r>
      <w:r>
        <w:rPr>
          <w:rFonts w:ascii="Arial" w:hAnsi="Arial" w:eastAsia="Calibri" w:cs="Arial"/>
          <w:sz w:val="22"/>
          <w:szCs w:val="22"/>
          <w:lang w:val="pl-PL"/>
        </w:rPr>
        <w:t xml:space="preserve">.</w:t>
      </w:r>
      <w:r>
        <w:rPr>
          <w:rFonts w:ascii="Arial" w:hAnsi="Arial" w:eastAsia="Calibri" w:cs="Arial"/>
          <w:iCs/>
          <w:sz w:val="22"/>
          <w:szCs w:val="22"/>
          <w14:ligatures w14:val="none"/>
        </w:rPr>
      </w:r>
      <w:r>
        <w:rPr>
          <w:rFonts w:ascii="Arial" w:hAnsi="Arial" w:eastAsia="Calibri" w:cs="Arial"/>
          <w:iCs/>
          <w:sz w:val="22"/>
          <w:szCs w:val="22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425"/>
        <w:jc w:val="both"/>
        <w:rPr>
          <w:rFonts w:ascii="Arial" w:hAnsi="Arial" w:eastAsia="Calibri" w:cs="Arial"/>
          <w:sz w:val="16"/>
          <w:szCs w:val="16"/>
          <w14:ligatures w14:val="none"/>
        </w:rPr>
      </w:pPr>
      <w:r>
        <w:rPr>
          <w:rFonts w:ascii="Arial" w:hAnsi="Arial" w:eastAsia="Calibri" w:cs="Arial"/>
          <w:sz w:val="22"/>
          <w:szCs w:val="22"/>
          <w:highlight w:val="none"/>
          <w:lang w:val="pl-PL"/>
        </w:rPr>
      </w:r>
      <w:r>
        <w:rPr>
          <w:rFonts w:ascii="Arial" w:hAnsi="Arial" w:eastAsia="Calibri" w:cs="Arial"/>
          <w:sz w:val="16"/>
          <w:szCs w:val="16"/>
          <w14:ligatures w14:val="none"/>
        </w:rPr>
      </w:r>
      <w:r>
        <w:rPr>
          <w:rFonts w:ascii="Arial" w:hAnsi="Arial" w:eastAsia="Calibri" w:cs="Arial"/>
          <w:sz w:val="16"/>
          <w:szCs w:val="16"/>
          <w14:ligatures w14:val="none"/>
        </w:rPr>
      </w:r>
    </w:p>
    <w:p>
      <w:pPr>
        <w:pStyle w:val="921"/>
        <w:numPr>
          <w:ilvl w:val="0"/>
          <w:numId w:val="1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3" w:left="425"/>
        <w:jc w:val="both"/>
        <w:rPr>
          <w:rFonts w:ascii="Arial" w:hAnsi="Arial" w:eastAsia="Calibri" w:cs="Arial"/>
          <w:iCs/>
          <w:sz w:val="22"/>
          <w:szCs w:val="22"/>
          <w14:ligatures w14:val="none"/>
        </w:rPr>
      </w:pPr>
      <w:r>
        <w:rPr>
          <w:rFonts w:ascii="Arial" w:hAnsi="Arial" w:eastAsia="Calibri" w:cs="Arial"/>
          <w:sz w:val="22"/>
          <w:szCs w:val="22"/>
        </w:rPr>
        <w:t xml:space="preserve">Zgodni</w:t>
      </w:r>
      <w:r>
        <w:rPr>
          <w:rFonts w:ascii="Arial" w:hAnsi="Arial" w:eastAsia="Calibri" w:cs="Arial"/>
          <w:sz w:val="22"/>
          <w:szCs w:val="22"/>
        </w:rPr>
        <w:t xml:space="preserve">e z art. 13 ust. 1 i 2 rozporządzenia Parlamentu Europejskiego i Rady (UE) 2016/679 z dnia 27 kwietnia 2016 r. w sprawie ochrony osób fizycznych w związku z przetwarzaniem danych osobowych i w sprawie swobodnego przepływu takich danych oraz uchylenia dyrek</w:t>
      </w:r>
      <w:r>
        <w:rPr>
          <w:rFonts w:ascii="Arial" w:hAnsi="Arial" w:eastAsia="Calibri" w:cs="Arial"/>
          <w:sz w:val="22"/>
          <w:szCs w:val="22"/>
        </w:rPr>
        <w:t xml:space="preserve">tywy 95/46/WE (ogólne rozporządzenie o ochronie danych) (Dz. Urz. UE L 119 z 04.05.2016, str. 1) RODO informujemy iż, administratorem danych osobowych pozyskanych w związku z prowadzonym postępowaniem jest Przemysłowy Instytut Maszyn Budowlanych Sp. z o.o.</w:t>
      </w:r>
      <w:r>
        <w:rPr>
          <w:rFonts w:ascii="Arial" w:hAnsi="Arial" w:eastAsia="Calibri" w:cs="Arial"/>
          <w:sz w:val="22"/>
          <w:szCs w:val="22"/>
        </w:rPr>
        <w:br w:type="page" w:clear="all"/>
      </w:r>
      <w:r>
        <w:rPr>
          <w:rFonts w:ascii="Arial" w:hAnsi="Arial" w:eastAsia="Calibri" w:cs="Arial"/>
          <w:iCs/>
          <w:sz w:val="22"/>
          <w:szCs w:val="22"/>
          <w14:ligatures w14:val="none"/>
        </w:rPr>
      </w:r>
      <w:r>
        <w:rPr>
          <w:rFonts w:ascii="Arial" w:hAnsi="Arial" w:eastAsia="Calibri" w:cs="Arial"/>
          <w:iCs/>
          <w:sz w:val="22"/>
          <w:szCs w:val="22"/>
          <w14:ligatures w14:val="none"/>
        </w:rPr>
      </w:r>
    </w:p>
    <w:p>
      <w:pPr>
        <w:keepNext w:val="true"/>
        <w:pBdr/>
        <w:spacing/>
        <w:ind/>
        <w:jc w:val="center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FORMULARZ OFERTOWY</w:t>
      </w:r>
      <w:r>
        <w:rPr>
          <w:rFonts w:ascii="Arial" w:hAnsi="Arial" w:cs="Arial"/>
          <w:b/>
          <w:i/>
          <w:sz w:val="22"/>
          <w:szCs w:val="22"/>
          <w:u w:val="single"/>
        </w:rPr>
      </w:r>
      <w:r>
        <w:rPr>
          <w:rFonts w:ascii="Arial" w:hAnsi="Arial" w:cs="Arial"/>
          <w:b/>
          <w:i/>
          <w:sz w:val="22"/>
          <w:szCs w:val="22"/>
          <w:u w:val="single"/>
        </w:rPr>
      </w:r>
    </w:p>
    <w:p>
      <w:pPr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48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Wykonawca: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 w:line="48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……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(pełna nazwa/firma, adres, w zależności od podmiotu: NIP/PESEL, KRS/</w:t>
      </w:r>
      <w:r>
        <w:rPr>
          <w:rFonts w:ascii="Arial" w:hAnsi="Arial" w:cs="Arial"/>
          <w:i/>
          <w:sz w:val="18"/>
          <w:szCs w:val="18"/>
        </w:rPr>
        <w:t xml:space="preserve">CEiDG</w:t>
      </w:r>
      <w:r>
        <w:rPr>
          <w:rFonts w:ascii="Arial" w:hAnsi="Arial" w:cs="Arial"/>
          <w:i/>
          <w:sz w:val="18"/>
          <w:szCs w:val="18"/>
        </w:rPr>
        <w:t xml:space="preserve">)</w:t>
      </w:r>
      <w:r>
        <w:rPr>
          <w:rFonts w:ascii="Arial" w:hAnsi="Arial" w:cs="Arial"/>
          <w:i/>
          <w:sz w:val="18"/>
          <w:szCs w:val="18"/>
        </w:rPr>
      </w:r>
      <w:r>
        <w:rPr>
          <w:rFonts w:ascii="Arial" w:hAnsi="Arial" w:cs="Arial"/>
          <w:i/>
          <w:sz w:val="18"/>
          <w:szCs w:val="18"/>
        </w:rPr>
      </w:r>
    </w:p>
    <w:p>
      <w:pPr>
        <w:pBdr/>
        <w:spacing/>
        <w:ind w:right="59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</w:r>
    </w:p>
    <w:p>
      <w:pPr>
        <w:pBdr/>
        <w:spacing w:line="480" w:lineRule="auto"/>
        <w:ind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reprezentowany przez:</w: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</w:r>
    </w:p>
    <w:p>
      <w:pPr>
        <w:pBdr/>
        <w:spacing w:line="48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right="595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(imię, nazwisko, stanowisko/podstawa do  reprezentacji)</w:t>
      </w:r>
      <w:r>
        <w:rPr>
          <w:rFonts w:ascii="Arial" w:hAnsi="Arial" w:cs="Arial"/>
          <w:i/>
          <w:sz w:val="18"/>
          <w:szCs w:val="18"/>
        </w:rPr>
      </w:r>
      <w:r>
        <w:rPr>
          <w:rFonts w:ascii="Arial" w:hAnsi="Arial" w:cs="Arial"/>
          <w:i/>
          <w:sz w:val="18"/>
          <w:szCs w:val="18"/>
        </w:rPr>
      </w:r>
    </w:p>
    <w:p>
      <w:pPr>
        <w:pBdr/>
        <w:spacing/>
        <w:ind w:right="595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</w:t>
      </w:r>
      <w:r>
        <w:rPr>
          <w:rFonts w:ascii="Arial" w:hAnsi="Arial" w:cs="Arial"/>
          <w:i/>
          <w:sz w:val="18"/>
          <w:szCs w:val="18"/>
        </w:rPr>
        <w:t xml:space="preserve">mail</w:t>
      </w:r>
      <w:r>
        <w:rPr>
          <w:rFonts w:ascii="Arial" w:hAnsi="Arial" w:cs="Arial"/>
          <w:i/>
          <w:sz w:val="18"/>
          <w:szCs w:val="18"/>
        </w:rPr>
        <w:t xml:space="preserve">, telefon, fax) 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keepNext w:val="true"/>
        <w:pBdr/>
        <w:spacing w:line="120" w:lineRule="atLeast"/>
        <w:ind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z dnia </w:t>
      </w:r>
      <w:r>
        <w:rPr>
          <w:rFonts w:ascii="Arial" w:hAnsi="Arial" w:cs="Arial"/>
          <w:sz w:val="22"/>
          <w:szCs w:val="22"/>
          <w:highlight w:val="none"/>
        </w:rPr>
        <w:t xml:space="preserve">12</w:t>
      </w:r>
      <w:r>
        <w:rPr>
          <w:rFonts w:ascii="Arial" w:hAnsi="Arial" w:cs="Arial"/>
          <w:color w:val="ff0000"/>
          <w:sz w:val="22"/>
          <w:szCs w:val="22"/>
          <w:highlight w:val="none"/>
        </w:rPr>
        <w:t xml:space="preserve">.</w:t>
      </w:r>
      <w:r>
        <w:rPr>
          <w:rFonts w:ascii="Arial" w:hAnsi="Arial" w:cs="Arial"/>
          <w:sz w:val="22"/>
          <w:szCs w:val="22"/>
          <w:highlight w:val="none"/>
        </w:rPr>
        <w:t xml:space="preserve">0</w:t>
      </w:r>
      <w:r>
        <w:rPr>
          <w:rFonts w:ascii="Arial" w:hAnsi="Arial" w:cs="Arial"/>
          <w:sz w:val="22"/>
          <w:szCs w:val="22"/>
          <w:highlight w:val="none"/>
        </w:rPr>
        <w:t xml:space="preserve">8</w:t>
      </w:r>
      <w:r>
        <w:rPr>
          <w:rFonts w:ascii="Arial" w:hAnsi="Arial" w:cs="Arial"/>
          <w:sz w:val="22"/>
          <w:szCs w:val="22"/>
          <w:highlight w:val="none"/>
        </w:rPr>
        <w:t xml:space="preserve">.2025 r</w:t>
      </w:r>
      <w:r>
        <w:rPr>
          <w:rFonts w:ascii="Arial" w:hAnsi="Arial" w:cs="Arial"/>
          <w:sz w:val="22"/>
          <w:szCs w:val="22"/>
          <w:highlight w:val="none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„</w:t>
      </w:r>
      <w:r>
        <w:rPr>
          <w:rFonts w:ascii="Arial" w:hAnsi="Arial" w:eastAsia="Calibri" w:cs="Arial"/>
          <w:b/>
          <w:bCs/>
          <w:sz w:val="22"/>
          <w:szCs w:val="22"/>
          <w:u w:val="single"/>
        </w:rPr>
        <w:t xml:space="preserve">NA </w:t>
      </w:r>
      <w:r>
        <w:rPr>
          <w:rFonts w:ascii="Arial" w:hAnsi="Arial" w:eastAsia="Calibri" w:cs="Arial"/>
          <w:b/>
          <w:bCs/>
          <w:sz w:val="22"/>
          <w:szCs w:val="22"/>
          <w:u w:val="single"/>
        </w:rPr>
        <w:t xml:space="preserve">ZAKUP GAZU ZIEMNEGO W ROKU 2026</w:t>
      </w:r>
      <w:r>
        <w:rPr>
          <w:rFonts w:ascii="Arial" w:hAnsi="Arial" w:eastAsia="Calibri" w:cs="Arial"/>
          <w:b/>
          <w:bCs/>
          <w:sz w:val="22"/>
          <w:szCs w:val="22"/>
          <w:u w:val="single"/>
        </w:rPr>
        <w:t xml:space="preserve">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”.</w:t>
      </w:r>
      <w:r>
        <w:rPr>
          <w:rFonts w:ascii="Arial" w:hAnsi="Arial" w:cs="Arial"/>
          <w:b/>
          <w:i/>
          <w:sz w:val="22"/>
          <w:szCs w:val="22"/>
        </w:rPr>
      </w:r>
      <w:r>
        <w:rPr>
          <w:rFonts w:ascii="Arial" w:hAnsi="Arial" w:cs="Arial"/>
          <w:b/>
          <w:i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– Nr sprawy </w:t>
      </w:r>
      <w:r>
        <w:rPr>
          <w:rFonts w:ascii="Arial" w:hAnsi="Arial" w:cs="Arial"/>
          <w:b/>
          <w:sz w:val="22"/>
          <w:szCs w:val="22"/>
        </w:rPr>
        <w:t xml:space="preserve">3</w:t>
      </w:r>
      <w:r>
        <w:rPr>
          <w:rFonts w:ascii="Arial" w:hAnsi="Arial" w:cs="Arial"/>
          <w:b/>
          <w:sz w:val="22"/>
          <w:szCs w:val="22"/>
        </w:rPr>
        <w:t xml:space="preserve">/2025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niżej podpisany oświadczam, że: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5"/>
        </w:numPr>
        <w:pBdr/>
        <w:spacing/>
        <w:ind/>
        <w:jc w:val="both"/>
        <w:rPr>
          <w:rFonts w:ascii="Arial" w:hAnsi="Arial" w:cs="Arial"/>
          <w:sz w:val="22"/>
          <w:szCs w:val="22"/>
          <w:highlight w:val="none"/>
        </w:rPr>
      </w:pPr>
      <w:r>
        <w:rPr>
          <w:rFonts w:ascii="Arial" w:hAnsi="Arial" w:cs="Arial"/>
          <w:sz w:val="22"/>
          <w:szCs w:val="22"/>
        </w:rPr>
        <w:t xml:space="preserve">gwarantuję wykonanie całości niniejszego zamówienia zgodnie z treścią: Zapytania ofertowego z dnia </w:t>
      </w:r>
      <w:r>
        <w:rPr>
          <w:rFonts w:ascii="Arial" w:hAnsi="Arial" w:cs="Arial"/>
          <w:sz w:val="22"/>
          <w:szCs w:val="22"/>
          <w:highlight w:val="none"/>
        </w:rPr>
        <w:t xml:space="preserve">12</w:t>
      </w:r>
      <w:r>
        <w:rPr>
          <w:rFonts w:ascii="Arial" w:hAnsi="Arial" w:cs="Arial"/>
          <w:sz w:val="22"/>
          <w:szCs w:val="22"/>
          <w:highlight w:val="none"/>
        </w:rPr>
        <w:t xml:space="preserve">.0</w:t>
      </w:r>
      <w:r>
        <w:rPr>
          <w:rFonts w:ascii="Arial" w:hAnsi="Arial" w:cs="Arial"/>
          <w:sz w:val="22"/>
          <w:szCs w:val="22"/>
          <w:highlight w:val="none"/>
        </w:rPr>
        <w:t xml:space="preserve">8</w:t>
      </w:r>
      <w:r>
        <w:rPr>
          <w:rFonts w:ascii="Arial" w:hAnsi="Arial" w:cs="Arial"/>
          <w:sz w:val="22"/>
          <w:szCs w:val="22"/>
          <w:highlight w:val="none"/>
        </w:rPr>
        <w:t xml:space="preserve">.2025 r</w:t>
      </w:r>
      <w:r>
        <w:rPr>
          <w:rFonts w:ascii="Arial" w:hAnsi="Arial" w:cs="Arial"/>
          <w:sz w:val="22"/>
          <w:szCs w:val="22"/>
          <w:highlight w:val="none"/>
        </w:rPr>
        <w:t xml:space="preserve">.</w:t>
      </w:r>
      <w:r>
        <w:rPr>
          <w:rFonts w:ascii="Arial" w:hAnsi="Arial" w:cs="Arial"/>
          <w:sz w:val="22"/>
          <w:szCs w:val="22"/>
          <w:highlight w:val="none"/>
        </w:rPr>
        <w:t xml:space="preserve">,</w:t>
      </w:r>
      <w:r>
        <w:rPr>
          <w:rFonts w:ascii="Arial" w:hAnsi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  <w:highlight w:val="none"/>
        </w:rPr>
      </w:r>
    </w:p>
    <w:p>
      <w:pPr>
        <w:numPr>
          <w:ilvl w:val="0"/>
          <w:numId w:val="5"/>
        </w:numPr>
        <w:pBdr/>
        <w:spacing/>
        <w:ind/>
        <w:contextualSpacing w:val="tru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mojej oferty: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8480" w:type="dxa"/>
        <w:tblCellMar>
          <w:left w:w="70" w:type="dxa"/>
          <w:right w:w="70" w:type="dxa"/>
        </w:tblCellMar>
        <w:tblBorders/>
        <w:tblLook w:val="04A0" w:firstRow="1" w:lastRow="0" w:firstColumn="1" w:lastColumn="0" w:noHBand="0" w:noVBand="1"/>
      </w:tblPr>
      <w:tblGrid>
        <w:gridCol w:w="2419"/>
        <w:gridCol w:w="1600"/>
        <w:gridCol w:w="1741"/>
        <w:gridCol w:w="2720"/>
      </w:tblGrid>
      <w:tr>
        <w:trPr>
          <w:trHeight w:val="12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NETTO [gr/kWh]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OKRES OBOWIĄZANIA OFERTY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WOLUMEN SPRZEADAŻY GAZU ZIEMNEGO ZA ROK 2024 [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GWh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]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WARIANT I                 cena stała za rok 2026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0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24 godziny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720" w:type="dxa"/>
            <w:vAlign w:val="bottom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  <w:tr>
        <w:trPr>
          <w:trHeight w:val="19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WARIANT II             narzut sprzedawcy do ceny średniej arytmetycznej miesięcznych notowań giełdowych indeksu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TGEgazDA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0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 dni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72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</w:tc>
      </w:tr>
    </w:tbl>
    <w:p>
      <w:pPr>
        <w:pBdr/>
        <w:spacing/>
        <w:ind w:left="720"/>
        <w:contextualSpacing w:val="tru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5"/>
        </w:numPr>
        <w:pBdr/>
        <w:spacing w:before="120"/>
        <w:ind/>
        <w:contextualSpacing w:val="tru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uznania  (naszej) oferty za najkorzystniejszą, umowę zobowiązuję się zawrzeć w miejscu i terminie, jakie zostaną wskazane przez Zamawiającego,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5"/>
        </w:numPr>
        <w:pBdr/>
        <w:spacing w:before="120"/>
        <w:ind/>
        <w:contextualSpacing w:val="tru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zapoznałem się z przedmiotem zamówienia  i nie wnoszę zastrzeżeń do za</w:t>
      </w:r>
      <w:r>
        <w:rPr>
          <w:rFonts w:ascii="Arial" w:hAnsi="Arial" w:cs="Arial"/>
          <w:sz w:val="22"/>
          <w:szCs w:val="22"/>
        </w:rPr>
        <w:t xml:space="preserve">pytania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276" w:lineRule="auto"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</w:r>
    </w:p>
    <w:p>
      <w:pPr>
        <w:pBdr/>
        <w:spacing w:line="276" w:lineRule="auto"/>
        <w:ind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</w:r>
      <w:r>
        <w:rPr>
          <w:rFonts w:ascii="Arial" w:hAnsi="Arial" w:cs="Arial"/>
          <w:i/>
          <w:iCs/>
          <w:sz w:val="22"/>
          <w:szCs w:val="22"/>
        </w:rPr>
      </w:r>
    </w:p>
    <w:sectPr>
      <w:footnotePr/>
      <w:endnotePr/>
      <w:type w:val="nextPage"/>
      <w:pgSz w:h="16838" w:orient="portrait" w:w="11906"/>
      <w:pgMar w:top="907" w:right="1134" w:bottom="90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  <w:color w:val="auto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tabs>
          <w:tab w:val="left" w:leader="none" w:pos="644"/>
        </w:tabs>
        <w:spacing/>
        <w:ind w:hanging="284" w:left="644"/>
      </w:pPr>
      <w:rPr>
        <w:rFonts w:hint="default" w:ascii="Symbol" w:hAnsi="Symbol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160"/>
        </w:tabs>
        <w:spacing/>
        <w:ind w:hanging="360" w:left="2880"/>
      </w:pPr>
      <w:rPr>
        <w:rFonts w:hint="default"/>
        <w:color w:val="auto"/>
      </w:rPr>
      <w:start w:val="5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"/>
      <w:numFmt w:val="bullet"/>
      <w:pPr>
        <w:pBdr/>
        <w:tabs>
          <w:tab w:val="left" w:leader="none" w:pos="644"/>
        </w:tabs>
        <w:spacing/>
        <w:ind w:hanging="284" w:left="644"/>
      </w:pPr>
      <w:rPr>
        <w:rFonts w:hint="default" w:ascii="Symbol" w:hAnsi="Symbol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  <w:color w:val="auto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  <w:color w:val="auto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left" w:leader="none" w:pos="1437"/>
        </w:tabs>
        <w:spacing/>
        <w:ind w:hanging="360" w:left="720"/>
      </w:pPr>
      <w:rPr>
        <w:rFonts w:hint="default" w:ascii="Symbol" w:hAnsi="Symbol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left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left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left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1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3">
    <w:name w:val="Table Grid"/>
    <w:basedOn w:val="90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Table Grid Light"/>
    <w:basedOn w:val="90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1"/>
    <w:basedOn w:val="90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2"/>
    <w:basedOn w:val="90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1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2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3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4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5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6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1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2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3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4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5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6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1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2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3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4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5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6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9">
    <w:name w:val="Heading 1 Char"/>
    <w:basedOn w:val="903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0">
    <w:name w:val="Heading 2 Char"/>
    <w:basedOn w:val="903"/>
    <w:link w:val="8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1">
    <w:name w:val="Heading 3 Char"/>
    <w:basedOn w:val="903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2">
    <w:name w:val="Heading 4 Char"/>
    <w:basedOn w:val="903"/>
    <w:link w:val="8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3">
    <w:name w:val="Heading 5 Char"/>
    <w:basedOn w:val="903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4">
    <w:name w:val="Heading 6 Char"/>
    <w:basedOn w:val="903"/>
    <w:link w:val="8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5">
    <w:name w:val="Heading 7 Char"/>
    <w:basedOn w:val="903"/>
    <w:link w:val="9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6">
    <w:name w:val="Heading 8 Char"/>
    <w:basedOn w:val="903"/>
    <w:link w:val="9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9 Char"/>
    <w:basedOn w:val="903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8">
    <w:name w:val="Title Char"/>
    <w:basedOn w:val="903"/>
    <w:link w:val="9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59">
    <w:name w:val="Subtitle Char"/>
    <w:basedOn w:val="903"/>
    <w:link w:val="9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0">
    <w:name w:val="Quote Char"/>
    <w:basedOn w:val="903"/>
    <w:link w:val="91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Intense Quote Char"/>
    <w:basedOn w:val="903"/>
    <w:link w:val="923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63">
    <w:name w:val="Subtle Emphasis"/>
    <w:basedOn w:val="9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4">
    <w:name w:val="Emphasis"/>
    <w:basedOn w:val="903"/>
    <w:uiPriority w:val="20"/>
    <w:qFormat/>
    <w:pPr>
      <w:pBdr/>
      <w:spacing/>
      <w:ind/>
    </w:pPr>
    <w:rPr>
      <w:i/>
      <w:iCs/>
    </w:rPr>
  </w:style>
  <w:style w:type="character" w:styleId="865">
    <w:name w:val="Strong"/>
    <w:basedOn w:val="903"/>
    <w:uiPriority w:val="22"/>
    <w:qFormat/>
    <w:pPr>
      <w:pBdr/>
      <w:spacing/>
      <w:ind/>
    </w:pPr>
    <w:rPr>
      <w:b/>
      <w:bCs/>
    </w:rPr>
  </w:style>
  <w:style w:type="character" w:styleId="866">
    <w:name w:val="Subtle Reference"/>
    <w:basedOn w:val="9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7">
    <w:name w:val="Book Title"/>
    <w:basedOn w:val="90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8">
    <w:name w:val="Header"/>
    <w:basedOn w:val="893"/>
    <w:link w:val="86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9">
    <w:name w:val="Header Char"/>
    <w:basedOn w:val="903"/>
    <w:link w:val="868"/>
    <w:uiPriority w:val="99"/>
    <w:pPr>
      <w:pBdr/>
      <w:spacing/>
      <w:ind/>
    </w:pPr>
  </w:style>
  <w:style w:type="paragraph" w:styleId="870">
    <w:name w:val="Footer"/>
    <w:basedOn w:val="893"/>
    <w:link w:val="87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1">
    <w:name w:val="Footer Char"/>
    <w:basedOn w:val="903"/>
    <w:link w:val="870"/>
    <w:uiPriority w:val="99"/>
    <w:pPr>
      <w:pBdr/>
      <w:spacing/>
      <w:ind/>
    </w:pPr>
  </w:style>
  <w:style w:type="paragraph" w:styleId="87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3">
    <w:name w:val="footnote text"/>
    <w:basedOn w:val="893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Footnote Text Char"/>
    <w:basedOn w:val="903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foot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paragraph" w:styleId="876">
    <w:name w:val="endnote text"/>
    <w:basedOn w:val="893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Endnote Text Char"/>
    <w:basedOn w:val="90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end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character" w:styleId="879">
    <w:name w:val="Hyperlink"/>
    <w:basedOn w:val="90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0">
    <w:name w:val="FollowedHyperlink"/>
    <w:basedOn w:val="9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1">
    <w:name w:val="toc 1"/>
    <w:basedOn w:val="893"/>
    <w:next w:val="893"/>
    <w:uiPriority w:val="39"/>
    <w:unhideWhenUsed/>
    <w:pPr>
      <w:pBdr/>
      <w:spacing w:after="100"/>
      <w:ind/>
    </w:pPr>
  </w:style>
  <w:style w:type="paragraph" w:styleId="882">
    <w:name w:val="toc 2"/>
    <w:basedOn w:val="893"/>
    <w:next w:val="893"/>
    <w:uiPriority w:val="39"/>
    <w:unhideWhenUsed/>
    <w:pPr>
      <w:pBdr/>
      <w:spacing w:after="100"/>
      <w:ind w:left="220"/>
    </w:pPr>
  </w:style>
  <w:style w:type="paragraph" w:styleId="883">
    <w:name w:val="toc 3"/>
    <w:basedOn w:val="893"/>
    <w:next w:val="893"/>
    <w:uiPriority w:val="39"/>
    <w:unhideWhenUsed/>
    <w:pPr>
      <w:pBdr/>
      <w:spacing w:after="100"/>
      <w:ind w:left="440"/>
    </w:pPr>
  </w:style>
  <w:style w:type="paragraph" w:styleId="884">
    <w:name w:val="toc 4"/>
    <w:basedOn w:val="893"/>
    <w:next w:val="893"/>
    <w:uiPriority w:val="39"/>
    <w:unhideWhenUsed/>
    <w:pPr>
      <w:pBdr/>
      <w:spacing w:after="100"/>
      <w:ind w:left="660"/>
    </w:pPr>
  </w:style>
  <w:style w:type="paragraph" w:styleId="885">
    <w:name w:val="toc 5"/>
    <w:basedOn w:val="893"/>
    <w:next w:val="893"/>
    <w:uiPriority w:val="39"/>
    <w:unhideWhenUsed/>
    <w:pPr>
      <w:pBdr/>
      <w:spacing w:after="100"/>
      <w:ind w:left="880"/>
    </w:pPr>
  </w:style>
  <w:style w:type="paragraph" w:styleId="886">
    <w:name w:val="toc 6"/>
    <w:basedOn w:val="893"/>
    <w:next w:val="893"/>
    <w:uiPriority w:val="39"/>
    <w:unhideWhenUsed/>
    <w:pPr>
      <w:pBdr/>
      <w:spacing w:after="100"/>
      <w:ind w:left="1100"/>
    </w:pPr>
  </w:style>
  <w:style w:type="paragraph" w:styleId="887">
    <w:name w:val="toc 7"/>
    <w:basedOn w:val="893"/>
    <w:next w:val="893"/>
    <w:uiPriority w:val="39"/>
    <w:unhideWhenUsed/>
    <w:pPr>
      <w:pBdr/>
      <w:spacing w:after="100"/>
      <w:ind w:left="1320"/>
    </w:pPr>
  </w:style>
  <w:style w:type="paragraph" w:styleId="888">
    <w:name w:val="toc 8"/>
    <w:basedOn w:val="893"/>
    <w:next w:val="893"/>
    <w:uiPriority w:val="39"/>
    <w:unhideWhenUsed/>
    <w:pPr>
      <w:pBdr/>
      <w:spacing w:after="100"/>
      <w:ind w:left="1540"/>
    </w:pPr>
  </w:style>
  <w:style w:type="paragraph" w:styleId="889">
    <w:name w:val="toc 9"/>
    <w:basedOn w:val="893"/>
    <w:next w:val="893"/>
    <w:uiPriority w:val="39"/>
    <w:unhideWhenUsed/>
    <w:pPr>
      <w:pBdr/>
      <w:spacing w:after="100"/>
      <w:ind w:left="1760"/>
    </w:pPr>
  </w:style>
  <w:style w:type="character" w:styleId="890">
    <w:name w:val="Placeholder Text"/>
    <w:basedOn w:val="903"/>
    <w:uiPriority w:val="99"/>
    <w:semiHidden/>
    <w:pPr>
      <w:pBdr/>
      <w:spacing/>
      <w:ind/>
    </w:pPr>
    <w:rPr>
      <w:color w:val="666666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pl-PL"/>
      <w14:ligatures w14:val="none"/>
    </w:rPr>
  </w:style>
  <w:style w:type="paragraph" w:styleId="894">
    <w:name w:val="Heading 1"/>
    <w:basedOn w:val="893"/>
    <w:next w:val="893"/>
    <w:link w:val="9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895">
    <w:name w:val="Heading 2"/>
    <w:basedOn w:val="893"/>
    <w:next w:val="893"/>
    <w:link w:val="907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896">
    <w:name w:val="Heading 3"/>
    <w:basedOn w:val="893"/>
    <w:next w:val="893"/>
    <w:link w:val="908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897">
    <w:name w:val="Heading 4"/>
    <w:basedOn w:val="893"/>
    <w:next w:val="893"/>
    <w:link w:val="909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898">
    <w:name w:val="Heading 5"/>
    <w:basedOn w:val="893"/>
    <w:next w:val="893"/>
    <w:link w:val="910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899">
    <w:name w:val="Heading 6"/>
    <w:basedOn w:val="893"/>
    <w:next w:val="893"/>
    <w:link w:val="911"/>
    <w:uiPriority w:val="9"/>
    <w:semiHidden/>
    <w:unhideWhenUsed/>
    <w:qFormat/>
    <w:pPr>
      <w:keepNext w:val="true"/>
      <w:keepLines w:val="true"/>
      <w:pBdr/>
      <w:spacing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900">
    <w:name w:val="Heading 7"/>
    <w:basedOn w:val="893"/>
    <w:next w:val="893"/>
    <w:link w:val="912"/>
    <w:uiPriority w:val="9"/>
    <w:semiHidden/>
    <w:unhideWhenUsed/>
    <w:qFormat/>
    <w:pPr>
      <w:keepNext w:val="true"/>
      <w:keepLines w:val="true"/>
      <w:pBdr/>
      <w:spacing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901">
    <w:name w:val="Heading 8"/>
    <w:basedOn w:val="893"/>
    <w:next w:val="893"/>
    <w:link w:val="913"/>
    <w:uiPriority w:val="9"/>
    <w:semiHidden/>
    <w:unhideWhenUsed/>
    <w:qFormat/>
    <w:pPr>
      <w:keepNext w:val="true"/>
      <w:keepLines w:val="true"/>
      <w:pBdr/>
      <w:spacing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02">
    <w:name w:val="Heading 9"/>
    <w:basedOn w:val="893"/>
    <w:next w:val="893"/>
    <w:link w:val="914"/>
    <w:uiPriority w:val="9"/>
    <w:semiHidden/>
    <w:unhideWhenUsed/>
    <w:qFormat/>
    <w:pPr>
      <w:keepNext w:val="true"/>
      <w:keepLines w:val="true"/>
      <w:pBdr/>
      <w:spacing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903" w:default="1">
    <w:name w:val="Default Paragraph Font"/>
    <w:uiPriority w:val="1"/>
    <w:semiHidden/>
    <w:unhideWhenUsed/>
    <w:pPr>
      <w:pBdr/>
      <w:spacing/>
      <w:ind/>
    </w:pPr>
  </w:style>
  <w:style w:type="table" w:styleId="90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 w:default="1">
    <w:name w:val="No List"/>
    <w:uiPriority w:val="99"/>
    <w:semiHidden/>
    <w:unhideWhenUsed/>
    <w:pPr>
      <w:pBdr/>
      <w:spacing/>
      <w:ind/>
    </w:pPr>
  </w:style>
  <w:style w:type="character" w:styleId="906" w:customStyle="1">
    <w:name w:val="Nagłówek 1 Znak"/>
    <w:basedOn w:val="903"/>
    <w:link w:val="894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907" w:customStyle="1">
    <w:name w:val="Nagłówek 2 Znak"/>
    <w:basedOn w:val="903"/>
    <w:link w:val="895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908" w:customStyle="1">
    <w:name w:val="Nagłówek 3 Znak"/>
    <w:basedOn w:val="903"/>
    <w:link w:val="896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909" w:customStyle="1">
    <w:name w:val="Nagłówek 4 Znak"/>
    <w:basedOn w:val="903"/>
    <w:link w:val="897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910" w:customStyle="1">
    <w:name w:val="Nagłówek 5 Znak"/>
    <w:basedOn w:val="903"/>
    <w:link w:val="898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911" w:customStyle="1">
    <w:name w:val="Nagłówek 6 Znak"/>
    <w:basedOn w:val="903"/>
    <w:link w:val="899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912" w:customStyle="1">
    <w:name w:val="Nagłówek 7 Znak"/>
    <w:basedOn w:val="903"/>
    <w:link w:val="900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913" w:customStyle="1">
    <w:name w:val="Nagłówek 8 Znak"/>
    <w:basedOn w:val="903"/>
    <w:link w:val="901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914" w:customStyle="1">
    <w:name w:val="Nagłówek 9 Znak"/>
    <w:basedOn w:val="903"/>
    <w:link w:val="902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915">
    <w:name w:val="Title"/>
    <w:basedOn w:val="893"/>
    <w:next w:val="893"/>
    <w:link w:val="916"/>
    <w:uiPriority w:val="10"/>
    <w:qFormat/>
    <w:pPr>
      <w:pBdr/>
      <w:spacing w:after="8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16" w:customStyle="1">
    <w:name w:val="Tytuł Znak"/>
    <w:basedOn w:val="903"/>
    <w:link w:val="915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17">
    <w:name w:val="Subtitle"/>
    <w:basedOn w:val="893"/>
    <w:next w:val="893"/>
    <w:link w:val="918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918" w:customStyle="1">
    <w:name w:val="Podtytuł Znak"/>
    <w:basedOn w:val="903"/>
    <w:link w:val="917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919">
    <w:name w:val="Quote"/>
    <w:basedOn w:val="893"/>
    <w:next w:val="893"/>
    <w:link w:val="92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0" w:customStyle="1">
    <w:name w:val="Cytat Znak"/>
    <w:basedOn w:val="903"/>
    <w:link w:val="91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1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922">
    <w:name w:val="Intense Emphasis"/>
    <w:basedOn w:val="9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3">
    <w:name w:val="Intense Quote"/>
    <w:basedOn w:val="893"/>
    <w:next w:val="893"/>
    <w:link w:val="92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4" w:customStyle="1">
    <w:name w:val="Cytat intensywny Znak"/>
    <w:basedOn w:val="903"/>
    <w:link w:val="92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5">
    <w:name w:val="Intense Reference"/>
    <w:basedOn w:val="9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6">
    <w:name w:val="Body Text"/>
    <w:basedOn w:val="893"/>
    <w:link w:val="927"/>
    <w:pPr>
      <w:pBdr/>
      <w:spacing/>
      <w:ind/>
      <w:jc w:val="both"/>
    </w:pPr>
    <w:rPr>
      <w:sz w:val="28"/>
      <w:szCs w:val="20"/>
    </w:rPr>
  </w:style>
  <w:style w:type="character" w:styleId="927" w:customStyle="1">
    <w:name w:val="Tekst podstawowy Znak"/>
    <w:basedOn w:val="903"/>
    <w:link w:val="926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pl-PL"/>
      <w14:ligatures w14:val="none"/>
    </w:rPr>
  </w:style>
  <w:style w:type="paragraph" w:styleId="928" w:customStyle="1">
    <w:name w:val="wylicz liczba"/>
    <w:basedOn w:val="893"/>
    <w:pPr>
      <w:pBdr/>
      <w:spacing/>
      <w:ind w:hanging="227" w:left="227"/>
      <w:jc w:val="both"/>
    </w:pPr>
    <w:rPr>
      <w:sz w:val="22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Kalinko</dc:creator>
  <cp:keywords/>
  <dc:description/>
  <cp:revision>6</cp:revision>
  <dcterms:created xsi:type="dcterms:W3CDTF">2025-08-12T05:31:00Z</dcterms:created>
  <dcterms:modified xsi:type="dcterms:W3CDTF">2025-08-12T12:00:43Z</dcterms:modified>
</cp:coreProperties>
</file>